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7.png" ContentType="image/png"/>
  <Override PartName="/word/media/rId135.png" ContentType="image/png"/>
  <Override PartName="/word/media/rId143.png" ContentType="image/png"/>
  <Override PartName="/word/media/rId139.png" ContentType="image/png"/>
  <Override PartName="/word/media/rId27.png" ContentType="image/png"/>
  <Override PartName="/word/media/rId11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18-12-2024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is the culmination of a collaborative planning process undertaken in the Horsefly River watershed over many months with a team of individuals and groups that are passionate about the conservation and restoration of freshwater ecosystems and the species they support. Plan development was funded by the B.C. Salmon Restoration and Innovation Fund, Canada Nature Fund for Aquatic Species at Risk, and the RBC Bluewater Project.</w:t>
      </w:r>
    </w:p>
    <w:p>
      <w:pPr>
        <w:pStyle w:val="BodyText"/>
      </w:pPr>
      <w:r>
        <w:t xml:space="preserve">We were fortunate to benefit from the feedback, guidance, and wisdom of many people who volunteered their time throughout this process — this publication would not have been possible without the engagement of our partners and the planning team (see</w:t>
      </w:r>
      <w:r>
        <w:t xml:space="preserve"> </w:t>
      </w:r>
      <w:r>
        <w:rPr>
          <w:bCs/>
          <w:b/>
        </w:rPr>
        <w:t xml:space="preserve">?@tbl-planteam</w:t>
      </w:r>
      <w:r>
        <w:t xml:space="preserve">). We recognize the incredible fish passage and connectivity work that has occurred in the Horsefly River watershed to-date,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1. 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collaborative planning effort,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through barrier rehabilitation and prevention strategies.</w:t>
      </w:r>
    </w:p>
    <w:p>
      <w:pPr>
        <w:pStyle w:val="BodyText"/>
      </w:pPr>
      <w:r>
        <w:t xml:space="preserve">WCRPs are long-term, actionable plans that blend local stakeholder and rightsholder knowledge with innovative geographic information systems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(Masse Envrionmental Consultants</w:t>
      </w:r>
      <w:r>
        <w:t xml:space="preserve">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structure prioritization will be conducted, and subsequent restoration efforts will take place. Additionally, the team selected focal fish species, assess the current key habitat connectivity status of the watershed, defined concrete goals for gains in connectivity, and undertook an iterative structure-ranking process to identify a list of priority barriers for rehabilitation to achieve those goals. Although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connectivity planning in the Horsefly River watershed. For more information on how WCRPs are developed, see (</w:t>
      </w:r>
      <w:r>
        <w:t xml:space="preserve">N. Mazany-Wright et al. (2021c)</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influences critical components of freshwater ecosystem structure and function, such as aquatic species dispersal and migration, the transport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focal species can disperse 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 (</w:t>
      </w:r>
      <w:r>
        <w:t xml:space="preserve">N. Mazany-Wright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waterbodies that focal species should be able to access in the absence of human-made barriers (</w:t>
      </w:r>
      <w:hyperlink w:anchor="fig-strseg">
        <w:r>
          <w:rPr>
            <w:rStyle w:val="Hyperlink"/>
          </w:rPr>
          <w:t xml:space="preserve">Figure 1.2</w:t>
        </w:r>
      </w:hyperlink>
      <w:r>
        <w:t xml:space="preserve">). Naturally accessible waterbodies were spatially delineated using fish species observation and distribution data, as well as data on</w:t>
      </w:r>
      <w:r>
        <w:t xml:space="preserve"> </w:t>
      </w:r>
      <w:r>
        <w:t xml:space="preserve">“</w:t>
      </w:r>
      <w:r>
        <w:t xml:space="preserve">natural barriers</w:t>
      </w:r>
      <w:r>
        <w:t xml:space="preserve">”</w:t>
      </w:r>
      <w:r>
        <w:t xml:space="preserve">. These include waterfalls greater than 5 m in height, gradient barriers based on literatrure-derived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 (</w:t>
      </w:r>
      <w:r>
        <w:t xml:space="preserve">N. Mazany-Wright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Naturally accessible waterbodies within the Horsefly River watershed. These do not represent useable habitat types, but rather identify the waterbodies within which habitat modelling and structure mapping and prioritization were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or restored in the watershed. In the Horsefly River watershed, the planning team selected anadromous salmon as the focal guild, which comprises Chinook Salmon (Oncorhynchus tschawystcha), Coho Salmon (O. kisutch), and Sockeye Salmon (O. nerka). The selection of these focal species was driven primarily by the focal species of the primary fund supporting this planning work.</w:t>
      </w:r>
    </w:p>
    <w:bookmarkStart w:id="38" w:name="anadromous-salmon"/>
    <w:p>
      <w:pPr>
        <w:pStyle w:val="Heading3"/>
      </w:pPr>
      <w:r>
        <w:t xml:space="preserve">Anadromous Salmon</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(2024)</w:t>
      </w:r>
      <w:r>
        <w:t xml:space="preserve">,</w:t>
      </w:r>
      <w:r>
        <w:t xml:space="preserve"> </w:t>
      </w:r>
      <w:r>
        <w:t xml:space="preserve">DFO (1991)</w:t>
      </w:r>
      <w:r>
        <w:t xml:space="preserve">, S. Hocquard pers. comm.). Additionally, a spawning channel aimed at enhancing the Sockeye Salmon population was constructed by Fisheries and Oceans Canada in 1989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structure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39155"/>
    <w:p>
      <w:pPr>
        <w:pStyle w:val="TableCaption"/>
      </w:pPr>
      <w:r>
        <w:t xml:space="preserve">Table 1.1: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243 assessed and modelled crossings located on waterbodies with upstream modelled habitat. Demographic road crossings (highways, municipal, and paved roads) block 10.24 km of habitat (~3% of the total blocked habitat), with 69% of assessed crossings having been identified as barriers to fish passage. Resource roads block 17.31 km of habitat (~5%), with 60% of assessed crossings having been identified as barriers. The planning team felt that the data were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commenced in 2022, as described in the Operational Plan (</w:t>
      </w:r>
      <w:hyperlink w:anchor="tbl-opplan">
        <w:r>
          <w:rPr>
            <w:rStyle w:val="Hyperlink"/>
          </w:rPr>
          <w:t xml:space="preserve">Table 4.1</w:t>
        </w:r>
      </w:hyperlink>
      <w:r>
        <w:t xml:space="preserve">) under Strategy 2: Lateral barrier rehabilitation.</w:t>
      </w:r>
    </w:p>
    <w:bookmarkEnd w:id="49"/>
    <w:bookmarkStart w:id="50" w:name="small-dams-3-m-height"/>
    <w:p>
      <w:pPr>
        <w:pStyle w:val="Heading3"/>
      </w:pPr>
      <w:r>
        <w:t xml:space="preserve">Small Dams (&lt;3 m height)</w:t>
      </w:r>
    </w:p>
    <w:p>
      <w:pPr>
        <w:pStyle w:val="FirstParagraph"/>
      </w:pPr>
      <w:r>
        <w:t xml:space="preserve">Initially, 6 mapped small dams were identified in the watershed that had upstream modelled spawning or rearing habitat for key species. Field assessments were conducted in 2021 and 2022, and 5 of the mapped dams were identified as presenting no barrier to fish passage because they did not exist, were off channel, or had no suitable key habitat upstream (see</w:t>
      </w:r>
      <w:r>
        <w:t xml:space="preserve"> </w:t>
      </w:r>
      <w:r>
        <w:rPr>
          <w:bCs/>
          <w:b/>
        </w:rPr>
        <w:t xml:space="preserve">?@tbl-excluded_structures</w:t>
      </w:r>
      <w:r>
        <w:t xml:space="preserve">). The remaining dam, at the outlet of McKinley Lake is equipped with a fishway that provides passage for salmon. The effectiveness of the fishway on the McKinley Lake dam is unknown, and further study to assess fish passage efficiency is recommended (see</w:t>
      </w:r>
      <w:r>
        <w:t xml:space="preserve"> </w:t>
      </w:r>
      <w:hyperlink w:anchor="tbl-S3">
        <w:r>
          <w:rPr>
            <w:rStyle w:val="Hyperlink"/>
          </w:rPr>
          <w:t xml:space="preserve">Table 4.4</w:t>
        </w:r>
      </w:hyperlink>
      <w:r>
        <w:t xml:space="preserve">).</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restrict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and sediment deposits,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2. Connectivity Status Assessment and Goals</w:t>
      </w:r>
    </w:p>
    <w:bookmarkStart w:id="58"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Key Habitat and Accessible Overwintering Habitat (</w:t>
      </w:r>
      <w:hyperlink w:anchor="tbl-connectivity">
        <w:r>
          <w:rPr>
            <w:rStyle w:val="Hyperlink"/>
          </w:rPr>
          <w:t xml:space="preserve">Table 2.1</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w:t>
      </w:r>
      <w:r>
        <w:t xml:space="preserve"> </w:t>
      </w:r>
      <w:hyperlink w:anchor="data-download-and-methods">
        <w:r>
          <w:rPr>
            <w:rStyle w:val="Hyperlink"/>
          </w:rPr>
          <w:t xml:space="preserve">Appendix C</w:t>
        </w:r>
      </w:hyperlink>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6" w:name="tbl-connectivity"/>
    <w:bookmarkStart w:id="55" w:name="T_3c1f1"/>
    <w:p>
      <w:pPr>
        <w:pStyle w:val="TableCaption"/>
      </w:pPr>
      <w:r>
        <w:t xml:space="preserve">Table 2.1: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1: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connectivity model output, which is current as of December 2024.</w:t>
      </w:r>
    </w:p>
    <w:bookmarkStart w:id="57" w:name="T_e346d"/>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6be90"/>
    <w:p>
      <w:pPr>
        <w:pStyle w:val="TableCaption"/>
      </w:pPr>
      <w:r>
        <w:t xml:space="preserve">Table 2.2: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2: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m² within the Horsefly River watershed.</w:t>
            </w:r>
          </w:p>
        </w:tc>
      </w:tr>
    </w:tbl>
    <w:bookmarkEnd w:id="59"/>
    <w:bookmarkEnd w:id="60"/>
    <w:bookmarkEnd w:id="61"/>
    <w:bookmarkEnd w:id="62"/>
    <w:bookmarkStart w:id="71" w:name="structure-prioritization"/>
    <w:p>
      <w:pPr>
        <w:pStyle w:val="Heading1"/>
      </w:pPr>
      <w:r>
        <w:t xml:space="preserve">3. Structure Prioritization</w:t>
      </w:r>
    </w:p>
    <w:bookmarkStart w:id="66" w:name="field-assessment-ranking-process"/>
    <w:p>
      <w:pPr>
        <w:pStyle w:val="Heading2"/>
      </w:pPr>
      <w:r>
        <w:t xml:space="preserve">Field Assessment Ranking Process</w:t>
      </w:r>
    </w:p>
    <w:p>
      <w:pPr>
        <w:pStyle w:val="FirstParagraph"/>
      </w:pPr>
      <w:r>
        <w:t xml:space="preserve">A primary outcome of the WCRP will be the rehabilitation of barriers to connectivity in the Horsefly River watershed. To achieve Goal 1 in this plan, it is necessary to identify a suite of barriers that, if rehabilitated, will provide access to a minimum of 14.77 km of key habitat (</w:t>
      </w:r>
      <w:hyperlink w:anchor="tbl-table16">
        <w:r>
          <w:rPr>
            <w:rStyle w:val="Hyperlink"/>
          </w:rPr>
          <w:t xml:space="preserve">Table 3.1</w:t>
        </w:r>
      </w:hyperlink>
      <w:r>
        <w:t xml:space="preserve">).</w:t>
      </w:r>
    </w:p>
    <w:bookmarkStart w:id="64" w:name="tbl-table16"/>
    <w:bookmarkStart w:id="63" w:name="T_647a1"/>
    <w:p>
      <w:pPr>
        <w:pStyle w:val="TableCaption"/>
      </w:pPr>
      <w:r>
        <w:t xml:space="preserve">Table 3.1: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3.1: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3"/>
    <w:bookmarkEnd w:id="64"/>
    <w:p>
      <w:pPr>
        <w:pStyle w:val="BodyText"/>
      </w:pPr>
      <w:r>
        <w:t xml:space="preserve">After all existing data and knowledge are collated for known and modelled crossings, an iterative ranking process is conducted to identify barriers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structures that have the potential to block the most key habitat in the watershed.</w:t>
      </w:r>
      <w:r>
        <w:t xml:space="preserve"> </w:t>
      </w:r>
      <w:r>
        <w:t xml:space="preserve">Field assessments are based on the B.C.</w:t>
      </w:r>
      <w:r>
        <w:t xml:space="preserve"> </w:t>
      </w:r>
      <w:hyperlink r:id="rId65">
        <w:r>
          <w:rPr>
            <w:rStyle w:val="Hyperlink"/>
          </w:rPr>
          <w:t xml:space="preserve">Fish Passage Strategic Approach Environment (2014)</w:t>
        </w:r>
      </w:hyperlink>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habitat gains potentially offered by each structure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w:anchor="data-download-and-methods">
        <w:r>
          <w:rPr>
            <w:rStyle w:val="Hyperlink"/>
          </w:rPr>
          <w:t xml:space="preserve">Appendix C</w:t>
        </w:r>
      </w:hyperlink>
      <w:r>
        <w:t xml:space="preserve">.</w:t>
      </w:r>
    </w:p>
    <w:bookmarkEnd w:id="66"/>
    <w:bookmarkStart w:id="70" w:name="structure-prioritization-results"/>
    <w:p>
      <w:pPr>
        <w:pStyle w:val="Heading2"/>
      </w:pPr>
      <w:r>
        <w:t xml:space="preserve">Structure Prioritization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structure,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not present, or there is no key habitat upstream</w:t>
      </w:r>
      <w:r>
        <w:t xml:space="preserve"> </w:t>
      </w:r>
      <w:hyperlink w:anchor="data-download-and-methods">
        <w:r>
          <w:rPr>
            <w:rStyle w:val="Hyperlink"/>
          </w:rPr>
          <w:t xml:space="preserve">Appendix C</w:t>
        </w:r>
      </w:hyperlink>
      <w:r>
        <w:t xml:space="preserve">.</w:t>
      </w:r>
    </w:p>
    <w:bookmarkStart w:id="67"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672"/>
        <w:gridCol w:w="3235"/>
        <w:gridCol w:w="2648"/>
        <w:gridCol w:w="2147"/>
        <w:gridCol w:w="2012"/>
        <w:gridCol w:w="2098"/>
        <w:gridCol w:w="2282"/>
        <w:gridCol w:w="2868"/>
        <w:gridCol w:w="2086"/>
        <w:gridCol w:w="3651"/>
        <w:gridCol w:w="8995"/>
        <w:gridCol w:w="18496"/>
        <w:gridCol w:w="840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bl>
    <w:p>
      <w:pPr>
        <w:pStyle w:val="FirstParagraph"/>
      </w:pPr>
      <w:r>
        <w:rPr>
          <w:bCs/>
          <w:b/>
        </w:rPr>
        <w:t xml:space="preserve">?(caption)</w:t>
      </w:r>
    </w:p>
    <w:bookmarkEnd w:id="67"/>
    <w:bookmarkStart w:id="68"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68"/>
    <w:bookmarkStart w:id="69"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477"/>
        <w:gridCol w:w="2917"/>
        <w:gridCol w:w="2991"/>
        <w:gridCol w:w="2013"/>
        <w:gridCol w:w="2221"/>
        <w:gridCol w:w="2282"/>
        <w:gridCol w:w="2465"/>
        <w:gridCol w:w="5485"/>
        <w:gridCol w:w="13386"/>
        <w:gridCol w:w="9142"/>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69"/>
    <w:bookmarkEnd w:id="70"/>
    <w:bookmarkEnd w:id="71"/>
    <w:bookmarkStart w:id="78" w:name="work-planning"/>
    <w:p>
      <w:pPr>
        <w:pStyle w:val="Heading1"/>
      </w:pPr>
      <w:r>
        <w:t xml:space="preserve">4. Work Planning</w:t>
      </w:r>
    </w:p>
    <w:bookmarkStart w:id="73" w:name="annual-work-plan"/>
    <w:p>
      <w:pPr>
        <w:pStyle w:val="Heading2"/>
      </w:pPr>
      <w:r>
        <w:t xml:space="preserve">Annual Work Plan</w:t>
      </w:r>
    </w:p>
    <w:bookmarkStart w:id="72"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2"/>
    <w:bookmarkEnd w:id="73"/>
    <w:bookmarkStart w:id="74"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4"/>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w:t>
      </w:r>
      <w:r>
        <w:t xml:space="preserve"> </w:t>
      </w:r>
      <w:hyperlink w:anchor="tbl-opplan">
        <w:r>
          <w:rPr>
            <w:rStyle w:val="Hyperlink"/>
          </w:rPr>
          <w:t xml:space="preserve">Table 4.1</w:t>
        </w:r>
      </w:hyperlink>
      <w:r>
        <w:t xml:space="preserve"> </w:t>
      </w:r>
      <w:r>
        <w:t xml:space="preserve">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during WCRP implementation.</w:t>
      </w:r>
    </w:p>
    <w:p>
      <w:pPr>
        <w:pStyle w:val="BodyText"/>
      </w:pPr>
    </w:p>
    <w:bookmarkStart w:id="76" w:name="tbl-opplan"/>
    <w:bookmarkStart w:id="75" w:name="T_aef0b"/>
    <w:p>
      <w:pPr>
        <w:pStyle w:val="TableCaption"/>
      </w:pPr>
      <w:r>
        <w:t xml:space="preserve">Table 4.1: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4.1: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the government to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B.C.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strategy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5"/>
    <w:bookmarkEnd w:id="76"/>
    <w:p>
      <w:pPr>
        <w:pStyle w:val="BodyText"/>
      </w:pPr>
    </w:p>
    <w:bookmarkEnd w:id="77"/>
    <w:bookmarkEnd w:id="78"/>
    <w:bookmarkStart w:id="106" w:name="references"/>
    <w:p>
      <w:pPr>
        <w:pStyle w:val="Heading1"/>
      </w:pPr>
      <w:r>
        <w:t xml:space="preserve">References</w:t>
      </w:r>
    </w:p>
    <w:bookmarkStart w:id="105"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4"/>
    <w:bookmarkStart w:id="85"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5"/>
    <w:bookmarkStart w:id="86"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6"/>
    <w:bookmarkStart w:id="87"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7"/>
    <w:bookmarkStart w:id="88" w:name="ref-Mazany-Wright2021-do"/>
    <w:p>
      <w:pPr>
        <w:pStyle w:val="Bibliography"/>
      </w:pPr>
      <w:r>
        <w:t xml:space="preserve">Mazany-Wright, N., S. M. Norris, N. W. R. Lapointe, and B. Rebellato.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 2021b.</w:t>
      </w:r>
    </w:p>
    <w:bookmarkEnd w:id="88"/>
    <w:bookmarkStart w:id="89"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 2021a.</w:t>
      </w:r>
    </w:p>
    <w:bookmarkEnd w:id="89"/>
    <w:bookmarkStart w:id="90" w:name="ref-Mazany-Wright2021-hs"/>
    <w:p>
      <w:pPr>
        <w:pStyle w:val="Bibliography"/>
      </w:pPr>
      <w:r>
        <w:t xml:space="preserve">Mazany-Wright, N., J. Noseworthy, S. Sra, S. M. Norris, and N. W. Lapointe. 2021c.</w:t>
      </w:r>
      <w:r>
        <w:t xml:space="preserve"> </w:t>
      </w:r>
      <w:r>
        <w:t xml:space="preserve">“Breaking down Barriers: A Practitioners’ Guide to Watershed Connectivity Remediation Planning.”</w:t>
      </w:r>
      <w:r>
        <w:t xml:space="preserve"> </w:t>
      </w:r>
      <w:r>
        <w:rPr>
          <w:iCs/>
          <w:i/>
        </w:rPr>
        <w:t xml:space="preserve">Canadian Wildlife Federation</w:t>
      </w:r>
      <w:r>
        <w:t xml:space="preserve">, 2021c.</w:t>
      </w:r>
    </w:p>
    <w:bookmarkEnd w:id="90"/>
    <w:bookmarkStart w:id="91"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1"/>
    <w:bookmarkStart w:id="92"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2"/>
    <w:bookmarkStart w:id="93"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3"/>
    <w:bookmarkStart w:id="94"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4"/>
    <w:bookmarkStart w:id="95" w:name="ref-PSF2024-tl"/>
    <w:p>
      <w:pPr>
        <w:pStyle w:val="Bibliography"/>
      </w:pPr>
      <w:r>
        <w:t xml:space="preserve">Pacific-Salmon-Foundation. 2024.</w:t>
      </w:r>
      <w:r>
        <w:t xml:space="preserve"> </w:t>
      </w:r>
      <w:r>
        <w:rPr>
          <w:iCs/>
          <w:i/>
        </w:rPr>
        <w:t xml:space="preserve">Methods for Assessing Status and Trends in Pacific Salmon Conservation Units and Their Freshwater Habitats. The Pacific Salmon Foundation, Vancouver, British Columbia.</w:t>
      </w:r>
      <w:r>
        <w:t xml:space="preserve"> https://salmonwatersheds.ca/document/lib_475/: PSF.</w:t>
      </w:r>
    </w:p>
    <w:bookmarkEnd w:id="95"/>
    <w:bookmarkStart w:id="9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6"/>
    <w:bookmarkStart w:id="9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7"/>
    <w:bookmarkStart w:id="9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8"/>
    <w:bookmarkStart w:id="9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Start w:id="102"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2"/>
    <w:bookmarkStart w:id="103"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3"/>
    <w:bookmarkStart w:id="10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4"/>
    <w:bookmarkEnd w:id="105"/>
    <w:bookmarkEnd w:id="106"/>
    <w:bookmarkStart w:id="108" w:name="version-history"/>
    <w:p>
      <w:pPr>
        <w:pStyle w:val="Heading1"/>
      </w:pPr>
      <w:r>
        <w:t xml:space="preserve">Version History</w:t>
      </w:r>
    </w:p>
    <w:p>
      <w:pPr>
        <w:pStyle w:val="FirstParagraph"/>
      </w:pPr>
      <w:hyperlink r:id="rId107">
        <w:r>
          <w:rPr>
            <w:rStyle w:val="Hyperlink"/>
          </w:rPr>
          <w:t xml:space="preserve">v.1.0 – March 2024</w:t>
        </w:r>
      </w:hyperlink>
    </w:p>
    <w:bookmarkEnd w:id="108"/>
    <w:bookmarkStart w:id="113" w:name="project-partners"/>
    <w:p>
      <w:pPr>
        <w:pStyle w:val="Heading1"/>
      </w:pPr>
      <w:r>
        <w:t xml:space="preserve">Project Partners</w:t>
      </w:r>
    </w:p>
    <w:bookmarkStart w:id="110" w:name="planning-team"/>
    <w:p>
      <w:pPr>
        <w:pStyle w:val="Heading2"/>
      </w:pPr>
      <w:r>
        <w:t xml:space="preserve">Planning Team</w:t>
      </w:r>
    </w:p>
    <w:bookmarkStart w:id="10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483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Greg Archie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Tsqescen First Nation</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Nicholas Coutu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Aaron Higginbottom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Spencer Neufeld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Teena Sellars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Xatsull First Nation</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Hawes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Tyler Thibault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Kirsten Jorgensen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Steward Pearce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Rick Walters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bl>
    <w:p>
      <w:pPr>
        <w:pStyle w:val="FirstParagraph"/>
      </w:pPr>
      <w:r>
        <w:rPr>
          <w:bCs/>
          <w:b/>
        </w:rPr>
        <w:t xml:space="preserve">?(caption)</w:t>
      </w:r>
    </w:p>
    <w:bookmarkEnd w:id="109"/>
    <w:bookmarkEnd w:id="110"/>
    <w:bookmarkStart w:id="112" w:name="key-actors"/>
    <w:p>
      <w:pPr>
        <w:pStyle w:val="Heading2"/>
      </w:pPr>
      <w:r>
        <w:t xml:space="preserve">Key Actors</w:t>
      </w:r>
    </w:p>
    <w:bookmarkStart w:id="11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8167"/>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Mining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Logging Ltd. Is 100% owned and operated by Williams Lake First Nation. The company has provided fundraising support, and can assist with remediation efforts.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rehabilitation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and consent to or facilitate complementary works on private property to improve fish habitat upstream and downstream.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and expertise and can facilitate rehabilitation work.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Northern Secwepemc te Qelmucw (NStQ) a coalition of four communities of T’exelc(Williams Lake First Nation), Tsq’escen (Canim Lake Band), Xatsull First Nation, and Stswecem’c-Xget’tem First Nation that participated in the early stages of the planning and prioritization process.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their road-stream corssings that are barreirs.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Steve can help with field assessments and project implementation. </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privately-owned Canadian forest products company that maintains forest service road-stream crossings in the Horsefly River watershed. </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 integrated forestry and diversified wood products company that maintains forest service road-stream crossings in the Horsefly River watershed. </w:t>
            </w:r>
          </w:p>
        </w:tc>
      </w:tr>
    </w:tbl>
    <w:p>
      <w:pPr>
        <w:pStyle w:val="FirstParagraph"/>
      </w:pPr>
      <w:r>
        <w:rPr>
          <w:bCs/>
          <w:b/>
        </w:rPr>
        <w:t xml:space="preserve">?(caption)</w:t>
      </w:r>
    </w:p>
    <w:bookmarkEnd w:id="111"/>
    <w:bookmarkEnd w:id="112"/>
    <w:bookmarkEnd w:id="113"/>
    <w:bookmarkStart w:id="152"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313305"/>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7"/>
        </w:tc>
      </w:tr>
    </w:tbl>
    <w:bookmarkEnd w:id="118"/>
    <w:bookmarkStart w:id="119" w:name="strategies-actions"/>
    <w:p>
      <w:pPr>
        <w:pStyle w:val="Heading2"/>
      </w:pPr>
      <w:r>
        <w:t xml:space="preserve">Strategies &amp; Actions</w:t>
      </w:r>
    </w:p>
    <w:p>
      <w:pPr>
        <w:pStyle w:val="FirstParagraph"/>
      </w:pPr>
      <w:r>
        <w:t xml:space="preserve">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crossing-rehabilitation"/>
    <w:p>
      <w:pPr>
        <w:pStyle w:val="Heading2"/>
      </w:pPr>
      <w:r>
        <w:t xml:space="preserve">Strategy 1: Crossing Rehabilitation</w:t>
      </w:r>
    </w:p>
    <w:bookmarkStart w:id="121" w:name="tbl-S1"/>
    <w:bookmarkStart w:id="120" w:name="T_0cea0"/>
    <w:p>
      <w:pPr>
        <w:pStyle w:val="TableCaption"/>
      </w:pPr>
      <w:r>
        <w:t xml:space="preserve">Table 4.2: Strategy 1</w:t>
      </w:r>
    </w:p>
    <w:tbl>
      <w:tblPr>
        <w:tblStyle w:val="Table"/>
        <w:tblW w:type="auto" w:w="0"/>
        <w:tblLook w:firstRow="1" w:lastRow="0" w:firstColumn="0" w:lastColumn="0" w:noHBand="0" w:noVBand="0" w:val="0020"/>
        <w:jc w:val="start"/>
        <w:tblCaption w:val="Table 4.2: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intervention includes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 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the government to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from being installed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2023 field assessments and review of field results.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Trail-stream crossings were surveyed by WLFN in 2022. No barriers were identified.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0"/>
    <w:bookmarkEnd w:id="121"/>
    <w:bookmarkEnd w:id="122"/>
    <w:bookmarkStart w:id="125" w:name="Xe40a2205e648885eb1afb578427cf3efc871191"/>
    <w:p>
      <w:pPr>
        <w:pStyle w:val="Heading2"/>
      </w:pPr>
      <w:r>
        <w:t xml:space="preserve">Strategy 2: Lateral Barrier Rehabilitation</w:t>
      </w:r>
    </w:p>
    <w:bookmarkStart w:id="124" w:name="tbl-S2"/>
    <w:bookmarkStart w:id="123" w:name="T_8ebc6"/>
    <w:p>
      <w:pPr>
        <w:pStyle w:val="TableCaption"/>
      </w:pPr>
      <w:r>
        <w:t xml:space="preserve">Table 4.3: Strategy 2</w:t>
      </w:r>
    </w:p>
    <w:tbl>
      <w:tblPr>
        <w:tblStyle w:val="Table"/>
        <w:tblW w:type="auto" w:w="0"/>
        <w:tblLook w:firstRow="1" w:lastRow="0" w:firstColumn="0" w:lastColumn="0" w:noHBand="0" w:noVBand="0" w:val="0020"/>
        <w:jc w:val="start"/>
        <w:tblCaption w:val="Table 4.3: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Volunteers from the HRR will conduct field habitat assessments following modules in the Pacific Streamkeepers Handbook to assess disconnected lateral and overwintering salmon habitats in the Horsefly watershed . The first phase of this project was initated in 2022.</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among different lateral barrier rehabilitation projects</w:t>
            </w:r>
          </w:p>
        </w:tc>
        <w:tc>
          <w:tcPr/>
          <w:p>
            <w:pPr>
              <w:pStyle w:val="Compact"/>
              <w:jc w:val="left"/>
            </w:pPr>
            <w:r>
              <w:t xml:space="preserve">CWF is leading pilot project in the Lower Nicola River watershed to develop methods for identifying and prioritizing lateral barriers to anadromous salmonids.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3-dam-rehabilitation"/>
    <w:p>
      <w:pPr>
        <w:pStyle w:val="Heading2"/>
      </w:pPr>
      <w:r>
        <w:t xml:space="preserve">Strategy 3: Dam Rehabilitation</w:t>
      </w:r>
    </w:p>
    <w:bookmarkStart w:id="127" w:name="tbl-S3"/>
    <w:bookmarkStart w:id="126" w:name="T_68ddc"/>
    <w:p>
      <w:pPr>
        <w:pStyle w:val="TableCaption"/>
      </w:pPr>
      <w:r>
        <w:t xml:space="preserve">Table 4.4: Strategy 3</w:t>
      </w:r>
    </w:p>
    <w:tbl>
      <w:tblPr>
        <w:tblStyle w:val="Table"/>
        <w:tblW w:type="auto" w:w="0"/>
        <w:tblLook w:firstRow="1" w:lastRow="0" w:firstColumn="0" w:lastColumn="0" w:noHBand="0" w:noVBand="0" w:val="0020"/>
        <w:jc w:val="start"/>
        <w:tblCaption w:val="Table 4.4: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B.C.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All known and mapped dams in areas with mapped key habitat have been assessed. No barriers to fish passage identified. Further assessment of McKinley Dam for passage efficiency is recommended.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jc w:val="left"/>
            </w:pPr>
            <w:r>
              <w:t xml:space="preserve">All known and mapped dams in areas with mapped key habitat have been assessed. No barriers to fish passage identified.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6"/>
    <w:bookmarkEnd w:id="127"/>
    <w:bookmarkEnd w:id="128"/>
    <w:bookmarkStart w:id="131" w:name="strategy-4-barrier-prevention"/>
    <w:p>
      <w:pPr>
        <w:pStyle w:val="Heading2"/>
      </w:pPr>
      <w:r>
        <w:t xml:space="preserve">Strategy 4: Barrier Prevention</w:t>
      </w:r>
    </w:p>
    <w:bookmarkStart w:id="130" w:name="tbl-S4"/>
    <w:bookmarkStart w:id="129" w:name="T_9ef63"/>
    <w:p>
      <w:pPr>
        <w:pStyle w:val="TableCaption"/>
      </w:pPr>
      <w:r>
        <w:t xml:space="preserve">Table 4.5: Strategy 4</w:t>
      </w:r>
    </w:p>
    <w:tbl>
      <w:tblPr>
        <w:tblStyle w:val="Table"/>
        <w:tblW w:type="auto" w:w="0"/>
        <w:tblLook w:firstRow="1" w:lastRow="0" w:firstColumn="0" w:lastColumn="0" w:noHBand="0" w:noVBand="0" w:val="0020"/>
        <w:jc w:val="start"/>
        <w:tblCaption w:val="Table 4.5: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B.C.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9"/>
    <w:bookmarkEnd w:id="130"/>
    <w:bookmarkEnd w:id="131"/>
    <w:bookmarkStart w:id="134" w:name="strategy-5-communication-and-education"/>
    <w:p>
      <w:pPr>
        <w:pStyle w:val="Heading2"/>
      </w:pPr>
      <w:r>
        <w:t xml:space="preserve">Strategy 5: Communication and Education</w:t>
      </w:r>
    </w:p>
    <w:bookmarkStart w:id="133" w:name="tbl-S5"/>
    <w:bookmarkStart w:id="132" w:name="T_06d02"/>
    <w:p>
      <w:pPr>
        <w:pStyle w:val="TableCaption"/>
      </w:pPr>
      <w:r>
        <w:t xml:space="preserve">Table 4.6: Strategy 5</w:t>
      </w:r>
    </w:p>
    <w:tbl>
      <w:tblPr>
        <w:tblStyle w:val="Table"/>
        <w:tblW w:type="auto" w:w="0"/>
        <w:tblLook w:firstRow="1" w:lastRow="0" w:firstColumn="0" w:lastColumn="0" w:noHBand="0" w:noVBand="0" w:val="0020"/>
        <w:jc w:val="start"/>
        <w:tblCaption w:val="Table 4.6: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2"/>
    <w:bookmarkEnd w:id="133"/>
    <w:bookmarkEnd w:id="134"/>
    <w:bookmarkStart w:id="151" w:name="theories-of-change-objectives"/>
    <w:p>
      <w:pPr>
        <w:pStyle w:val="Heading2"/>
      </w:pPr>
      <w:r>
        <w:t xml:space="preserve">Theories of Change &amp; Objectives</w:t>
      </w:r>
    </w:p>
    <w:p>
      <w:pPr>
        <w:pStyle w:val="FirstParagraph"/>
      </w:pPr>
      <w:r>
        <w:t xml:space="preserve">Theories of Change are explicit assumptions about how the identified actions will achieve gains in connectivity and contribute towards reaching the goals of the plan. To develop Theories of Change, the planning team made explicit assumptions for each strategy to clarify the rationale used for undertaking actions and provided an opportunity for feedback on invalid assumptions or missing opportunities. The Theories of Change are results-oriented and clearly define the expected outcome. The following Theories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8" w:name="fig-stra1"/>
          <w:p>
            <w:pPr>
              <w:jc w:val="center"/>
            </w:pPr>
            <w:r>
              <w:drawing>
                <wp:inline>
                  <wp:extent cx="5334000" cy="2978474"/>
                  <wp:effectExtent b="0" l="0" r="0" t="0"/>
                  <wp:docPr descr="" title="" id="136" name="Picture"/>
                  <a:graphic>
                    <a:graphicData uri="http://schemas.openxmlformats.org/drawingml/2006/picture">
                      <pic:pic>
                        <pic:nvPicPr>
                          <pic:cNvPr descr="content/images/flowchart-crossing-rem.png" id="137" name="Picture"/>
                          <pic:cNvPicPr>
                            <a:picLocks noChangeArrowheads="1" noChangeAspect="1"/>
                          </pic:cNvPicPr>
                        </pic:nvPicPr>
                        <pic:blipFill>
                          <a:blip r:embed="rId135"/>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Theoies of Change model developed by the planning team for the actions identified under Strategy 1: Crossing Rehabilitation in the Horsefly River watershed.</w:t>
            </w:r>
          </w:p>
          <w:bookmarkEnd w:id="13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2" w:name="fig-stra2"/>
          <w:p>
            <w:pPr>
              <w:jc w:val="center"/>
            </w:pPr>
            <w:r>
              <w:drawing>
                <wp:inline>
                  <wp:extent cx="5334000" cy="3283590"/>
                  <wp:effectExtent b="0" l="0" r="0" t="0"/>
                  <wp:docPr descr="" title="" id="140" name="Picture"/>
                  <a:graphic>
                    <a:graphicData uri="http://schemas.openxmlformats.org/drawingml/2006/picture">
                      <pic:pic>
                        <pic:nvPicPr>
                          <pic:cNvPr descr="content/images/flowchart-lat-bar-rem.png" id="141" name="Picture"/>
                          <pic:cNvPicPr>
                            <a:picLocks noChangeArrowheads="1" noChangeAspect="1"/>
                          </pic:cNvPicPr>
                        </pic:nvPicPr>
                        <pic:blipFill>
                          <a:blip r:embed="rId139"/>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Theoies of Change model developed by the planning team for the actions identified under Strategy 2: Lateral Barrier Rehabilitation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3"/>
          <w:p>
            <w:pPr>
              <w:jc w:val="center"/>
            </w:pPr>
            <w:r>
              <w:drawing>
                <wp:inline>
                  <wp:extent cx="5334000" cy="2652452"/>
                  <wp:effectExtent b="0" l="0" r="0" t="0"/>
                  <wp:docPr descr="" title="" id="144" name="Picture"/>
                  <a:graphic>
                    <a:graphicData uri="http://schemas.openxmlformats.org/drawingml/2006/picture">
                      <pic:pic>
                        <pic:nvPicPr>
                          <pic:cNvPr descr="content/images/flowchart-dam-rem.png" id="145" name="Picture"/>
                          <pic:cNvPicPr>
                            <a:picLocks noChangeArrowheads="1" noChangeAspect="1"/>
                          </pic:cNvPicPr>
                        </pic:nvPicPr>
                        <pic:blipFill>
                          <a:blip r:embed="rId143"/>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Theoies of Change model developed by the planning team for the actions identified under Strategy 3: Dam Rehabilitation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4"/>
          <w:p>
            <w:pPr>
              <w:jc w:val="center"/>
            </w:pPr>
            <w:r>
              <w:drawing>
                <wp:inline>
                  <wp:extent cx="5334000" cy="3229103"/>
                  <wp:effectExtent b="0" l="0" r="0" t="0"/>
                  <wp:docPr descr="" title="" id="148" name="Picture"/>
                  <a:graphic>
                    <a:graphicData uri="http://schemas.openxmlformats.org/drawingml/2006/picture">
                      <pic:pic>
                        <pic:nvPicPr>
                          <pic:cNvPr descr="content/images/flowchart-bar-prevent.png" id="149" name="Picture"/>
                          <pic:cNvPicPr>
                            <a:picLocks noChangeArrowheads="1" noChangeAspect="1"/>
                          </pic:cNvPicPr>
                        </pic:nvPicPr>
                        <pic:blipFill>
                          <a:blip r:embed="rId147"/>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Theoies of Change model developed by the planning team for the actions identified under Strategy 4: Barrier Prevention in the Horsefly River watershed.</w:t>
            </w:r>
          </w:p>
          <w:bookmarkEnd w:id="150"/>
        </w:tc>
      </w:tr>
    </w:tbl>
    <w:bookmarkEnd w:id="151"/>
    <w:bookmarkEnd w:id="152"/>
    <w:bookmarkStart w:id="159" w:name="data-download-and-methods"/>
    <w:p>
      <w:pPr>
        <w:pStyle w:val="Heading1"/>
      </w:pPr>
      <w:r>
        <w:t xml:space="preserve">Data Download and Methods</w:t>
      </w:r>
    </w:p>
    <w:bookmarkStart w:id="153" w:name="data-download"/>
    <w:p>
      <w:pPr>
        <w:pStyle w:val="Heading2"/>
      </w:pPr>
      <w:r>
        <w:t xml:space="preserve">Data Download</w:t>
      </w:r>
    </w:p>
    <w:p>
      <w:pPr>
        <w:pStyle w:val="FirstParagraph"/>
      </w:pPr>
      <w:r>
        <w:t xml:space="preserve">Coming soon</w:t>
      </w:r>
    </w:p>
    <w:bookmarkEnd w:id="153"/>
    <w:bookmarkStart w:id="155"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 (</w:t>
      </w:r>
      <w:r>
        <w:t xml:space="preserve">N. Mazany-Wright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59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4"/>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5"/>
    <w:bookmarkStart w:id="158" w:name="other-tables"/>
    <w:p>
      <w:pPr>
        <w:pStyle w:val="Heading2"/>
      </w:pPr>
      <w:r>
        <w:t xml:space="preserve">Other Tables</w:t>
      </w:r>
    </w:p>
    <w:bookmarkStart w:id="156"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477"/>
        <w:gridCol w:w="2636"/>
        <w:gridCol w:w="1622"/>
        <w:gridCol w:w="2660"/>
        <w:gridCol w:w="2795"/>
        <w:gridCol w:w="2441"/>
        <w:gridCol w:w="14040"/>
        <w:gridCol w:w="985"/>
        <w:gridCol w:w="2049"/>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6"/>
    <w:bookmarkStart w:id="157"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157"/>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image" Id="rId27" Target="media/rId27.png" /><Relationship Type="http://schemas.openxmlformats.org/officeDocument/2006/relationships/image" Id="rId114" Target="media/rId114.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7" Target="https://v1-0--horsefly-wcrp.netlify.app/" TargetMode="External" /><Relationship Type="http://schemas.openxmlformats.org/officeDocument/2006/relationships/hyperlink" Id="rId65" Target="https://www2.gov.bc.ca/assets/gov/environment/plants-animals-and-ecosystems/fish-fish-habitat/fish-passage/strategic20approach20july202014.pdf"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7" Target="https://v1-0--horsefly-wcrp.netlify.app/" TargetMode="External" /><Relationship Type="http://schemas.openxmlformats.org/officeDocument/2006/relationships/hyperlink" Id="rId65" Target="https://www2.gov.bc.ca/assets/gov/environment/plants-animals-and-ecosystems/fish-fish-habitat/fish-passage/strategic20approach20july20201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2024-12-18T19:18:59Z</dcterms:created>
  <dcterms:modified xsi:type="dcterms:W3CDTF">2024-12-18T19:18:59Z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18-12-2024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